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האפרטהייד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הערה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הוגש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כמאמר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תגובה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למערכת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מקומית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-24.7),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שזו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פרסמה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ציוני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המתנגד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לחרם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ומבקש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לזרוע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דמורליזציה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תומכי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סדרת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תיקונים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ועריכה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לשונית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התבשרנו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-27.7)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מוותרת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פרסום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מטעמי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סגנון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ותוכן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תקווה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שבעתיד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הקרוב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נצליח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להבקיע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שערי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הסטנדרטים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מקומית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הנוגע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סגנון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ותוכן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להודות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מקרב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לחברתנו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למפלגת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בל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אורלי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נוי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העריכה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הלשונית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הביקורת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הבונה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והניסיון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האמיתי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והכן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מקומית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"!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שוורץ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הקומוניסטי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המהפכני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RCIT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וסניף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יונתן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מזרחי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hyperlink r:id="rId6">
        <w:r w:rsidDel="00000000" w:rsidR="00000000" w:rsidRPr="00000000">
          <w:rPr>
            <w:rtl w:val="0"/>
          </w:rPr>
        </w:r>
      </w:hyperlink>
      <w:hyperlink r:id="rId7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'</w:t>
        </w:r>
      </w:hyperlink>
      <w:hyperlink r:id="rId8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החרם</w:t>
        </w:r>
      </w:hyperlink>
      <w:hyperlink r:id="rId9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הכלכלי</w:t>
        </w:r>
      </w:hyperlink>
      <w:hyperlink r:id="rId11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על</w:t>
        </w:r>
      </w:hyperlink>
      <w:hyperlink r:id="rId13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ישראל</w:t>
        </w:r>
      </w:hyperlink>
      <w:hyperlink r:id="rId15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לא</w:t>
        </w:r>
      </w:hyperlink>
      <w:hyperlink r:id="rId17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יצליח</w:t>
        </w:r>
      </w:hyperlink>
      <w:hyperlink r:id="rId19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לסיים</w:t>
        </w:r>
      </w:hyperlink>
      <w:hyperlink r:id="rId21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את</w:t>
        </w:r>
      </w:hyperlink>
      <w:hyperlink r:id="rId23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הכיבוש</w:t>
        </w:r>
      </w:hyperlink>
      <w:hyperlink r:id="rId25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'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שבהינתן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השינויים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במוקדי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הקפיטליסטי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התעמולה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ממניעים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אנטישמיים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אפקטיבית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התמיכה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מועילה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האימפריאליסטיות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דוגמת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ואירופה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הרואות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אפקטיבי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לשמירה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האימפריאליסטי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שהמזרח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ימשיכו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לתמוך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הכיבוש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67,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נתפסת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כקלגס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לאינטרסים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פוליטיים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האירופאי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והאמריקאי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אימפריאליסטיות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הכבולים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באינטרסים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שלטון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האימפריאליסטיות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התנגדו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מתנגדים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האפרטהייד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לקרוס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עקב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ההמונים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והצטרפו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השפעתן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תיתפס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כחלשה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יצטרפו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האינטרסים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הכאוס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הנורא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באזור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המהפכנית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הדמוקרטית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תתפרץ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פוליטי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והיעדר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פתרון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השליטים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נקווה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שהפעם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עקב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הנהגה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התומכת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בשחרור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שהמדינה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ניסתה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להסתיר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כלכליסט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הסכמי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1.2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מיליארד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דולר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רשמי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מהשטחים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יגרע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300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דולר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מהייצוא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לאירופה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ייווצר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גירעון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בחשבון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השוטף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במאזן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התשלומים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תיאלץ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קיבוע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החליפין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גליקו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כלכליסט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15.6.2015).</w:t>
      </w:r>
      <w:r w:rsidDel="00000000" w:rsidR="00000000" w:rsidRPr="00000000">
        <w:rPr>
          <w:rFonts w:ascii="David" w:cs="David" w:eastAsia="David" w:hAnsi="David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לאיחוד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האירופאי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(31%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-2015)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(21%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-2015)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(21%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-2015)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השלישי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והרביעי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הלטינית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ואפריקה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נרחב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לאיחוד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האירופאי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בהחלט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לאפריקה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ולדרום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מזרח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מההתנחלויות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באירופה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ניסיונות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למכור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לצרכנים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קנייה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באזורים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רחוק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מלהספיק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עקב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ההתקפה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הגופים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הפיננסיים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העולמיים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ההמונים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השלישי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הנדרשים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הגדולים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שהאימפריאליזם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אירופה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כיעדי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שיחליף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העממי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המתנגדים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לדיכוי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ההסברה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האמיתי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כמדינת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אפרטהייד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הנהר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מתווספת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שמדינת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מאמינה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לייצא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ולאפריקה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לחזק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התמיכה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לאפריקה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למכור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לרודנים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לדיכוי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לתמוך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המשטרים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הרודניים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ולקשור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לשליטים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להיסטריה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פשעי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פרושו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אנטישמיות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הנפשעות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השופכות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האנטישמיות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הממשית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המכוונת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ערבים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ומוסלמים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חוברת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האנטישמיות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ופוליטית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עקב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וההמונים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נזרקים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ימינה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ושמאלה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פוליטית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ימניות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מתחזקות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שמאליות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תופענה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הניצנים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בבחירות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לנשיאות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בסנדרס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נתפס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כתומך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סוציאליזם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שמאליות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מנהיגות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נאמנה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הולכת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וחובתנו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לחזק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העמדה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אפקטיבית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שתכריח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להקפיא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ההתנחלויות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ובוודאי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בענפי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העיקריים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תעשיות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הביטחון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היהלומים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הכימיה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והטכנולוגיה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ביעילות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האיגודים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המקצועיים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שיסרבו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לפרוק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ולהעמיס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הצבאיים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והתעופה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משתמשת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דורש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מדיניות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האיגודים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המקצועיים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איגודים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האיגוד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מכרעת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הצלחת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BDS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David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1"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http://www.calcalist.co.il/local/articles/0,7340,L-3661176,00.html</w:t>
      </w:r>
    </w:p>
  </w:footnote>
  <w:footnote w:id="0"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מערכת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הבחירות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בארצות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הברית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הוכיחה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מאי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המוני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אמריקאים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מודעים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לכך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וזועמים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ששתי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מפלגות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השלטון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המסורתיות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משרתות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האינטרסים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וול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סטריט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המוני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העם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</w:r>
    </w:p>
  </w:footnote>
  <w:footnote w:id="2"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http://www.calcalist.co.il/local/articles/0,7340,L-3650254,00.html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bidi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bidi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22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21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24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23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25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5" Type="http://schemas.openxmlformats.org/officeDocument/2006/relationships/styles" Target="styles.xml"/><Relationship Id="rId6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7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8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1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0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3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2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5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4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7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6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9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Relationship Id="rId18" Type="http://schemas.openxmlformats.org/officeDocument/2006/relationships/hyperlink" Target="http://mekomit.co.il/%D7%94%D7%97%D7%A8%D7%9D-%D7%94%D7%9B%D7%9C%D7%9B%D7%9C%D7%99-%D7%A2%D7%9C-%D7%99%D7%A9%D7%A8%D7%90%D7%9C-%D7%9C%D7%90-%D7%99%D7%A6%D7%9C%D7%99%D7%97/" TargetMode="External"/></Relationships>
</file>