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הסירו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המעסיק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השיימינג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איזבלה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האינטרנציונליסטית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04.10.2016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לאוקטובר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פרסם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האנרכו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קומוניסטי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שיימינג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במסעדה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איטלקית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איזבלה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איזבלה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נמנעת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מעובדיה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ועובדותיה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הגמל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לפרסום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שמילצרה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במסעדה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-9.5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ברצוננו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הנפוץ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המסעדנות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לכופף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מסעדת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איזבלה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מנוגד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לערכיהם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מרקסיסטים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וקומוניסטים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הקפיטליסטית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ולקודי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להתארגן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(!);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הלקוחות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והתשלומים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ולהימנע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שיתברר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המינימליות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והמבישות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שיתנצל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ויתקן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זעזוע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עמוק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מבחירתו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מנהיגיו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וחברותיו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מזכויות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לבודד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לביקורת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והטלת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נימנע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מלפרסם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והערכתנו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הגבוהה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מסירותם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ונחישותם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וחברותיו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חופשית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שוויונית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ונטולת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שחרורו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המוחלט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הקולוניאליסטי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להסיר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לאלתר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(!!!),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הפיזית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שהופצה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ולהותיר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לפרסם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התנצלות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הטקטית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שביצע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המפרסמים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לטעמנו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לנמק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שפנייתנו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טרוצקיסטים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טיפוסי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הפרולטריון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שהטעמים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לבקשתנו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למנהלי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בפייסבוק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סימטריה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עונשו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בוצע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לשפוט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לגופו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ובהתאם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ההיררכי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פרסום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ניצול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פשיסטיים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אידיאולוגי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לינצ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הטרדה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והתעללות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הנכונה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הדפוקים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והנדכאים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יתרחש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יספוג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אחדות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קומוניסטים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ופעילי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תדמיתי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להתאושש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ולהכניס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אחדות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כחשודים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המיידיים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כראייה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למעורבותם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מאזרחי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מנהיגי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בכנסת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החרמת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מבצעת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הגוררים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פרסום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שמסעדה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מנוהלת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בסכנה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קיומית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עתידית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תתנצל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ותשלם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מהטלת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ופרסום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מעסיקים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וחשבון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בטקטיקת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השיימינג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הימנעות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עקביות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נטען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כלפינו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כועסים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אחדות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שיימינג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משכורתה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קפיטליסטי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שבשגרה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המסעדנות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הכעס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לקומוניזם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ולתמיכה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לגזענות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התנצלות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ופומבית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החתום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האינטרנציונליסטית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