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לביטול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ההדחה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80" w:before="28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סלקו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הטלפיים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הפלסטינית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חנין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80" w:before="28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שוורץ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התבשרנו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מינה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אייל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קרים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המתיר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גויות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ערביות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מורל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החיילים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הראשי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העבירה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ההדחה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שמטרתו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לסלק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ערבים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ובראש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ובראשונה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חנין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הגזענות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והטרור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נפרדים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אספקטים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הקיימת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ביזת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השתקתו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בכוח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הרשות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לרצוח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ולאנוס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נשותיו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הגזענות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למנות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תומך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באונס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ערביות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הראשי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?!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הבנויה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גזל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היליד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התבהמות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גזענית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בשמאל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היוצאות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בצדק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מינוי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המטיף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לאונס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ובאותו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וזמן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תומכות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בצבא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מסייעות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לאשליה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צבא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מוסרי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שמדובר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בצבא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קלגסים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הפועל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לשימור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והרחבה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הגזענית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המציגים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ההדחה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כתגובה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לנאומה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חנין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שקלגסי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שייטת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13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שירו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למוות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בתשעה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פעילים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תורכים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הספינה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המרמרה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2010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רוצחים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ובמיוחד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לסבול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שנוגעים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בפרה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הקדושה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חסרות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הוכחות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שחיילים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רוצחים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פלסטינים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לדין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שילמה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פיצויים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למשפחות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ההרוגים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רצח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יקיריהם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הודתה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ברצח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שילמה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פיצויים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מהעסקה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ההתקרבות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לממשל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ארדואן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אילולי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רצחה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הפעילים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שהתגוננו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מוטות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ברזל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וסכינים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הנשק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האוטומטי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משלמת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שעובדתית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צודקת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באמירתה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הממשלה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טוענת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הצדקה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להשתלט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מרמרה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שספינה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משייטת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החופש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לעזה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שומו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שמיים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ניסתה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לפרוץ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המצור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הנפשע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עזה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חיילי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השייטת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השתלטו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הספינה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החוץ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טריטוריאליים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פירטית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והתקפה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תורכיה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הנאום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שנשאה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יוני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ההדחה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הצעת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וועדת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בפברואר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ואילו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נשאה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נאומה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שהרגיז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מוכנים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לינץ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יוני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הכיצד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זועקים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המקבלת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משכורת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מהמדינה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מעיזה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לאומר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שחיילים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ישראלים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רוצחים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"?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הסתה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המחבלת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במרקם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העדין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היחסים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לערבים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תופסים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שתפקידה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אופוזיציה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לוחמת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כבמה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ולומר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כשהם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נעימים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לרוב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הלאומני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והגזעני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שבחוקים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הגזעניים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מכוונים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האזרחים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משניאים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האזרחים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שוחרי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הדמוקרטיה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השכר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שחברי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פריבילגיה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הכרח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במשטר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הטוען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לדמוקרטיה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העשירים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פרלמנט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תיחשף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אופייה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הדיקטטורה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ההון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שמליאת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להדיח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לגזענות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ותמיכה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מזוין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ובלבד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שבהדחה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יתמכו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90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ההדחה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יחל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בקשת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ההדחה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יחתמו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70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מתוכם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בקואליציה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להדיח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בתקופת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בחירות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הנו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להשתקה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ולסילוק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מהפרלמנט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האסלאמית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הצפונית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הוציאו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לחוק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הגנתם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מתחם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אקצא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בדרכו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בונפרטיסטי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ריכוזי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ותיק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טאיפ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ארדואן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מפתיע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שבעוד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שארדואן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פועל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לחיסול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בטורקיה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בניטו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נתניהו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וחבריו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בפרצוף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הקואליציה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שבוחרים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הערבים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הבוחרים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שרובם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ערבים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ייצג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סילוק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ערבי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פרושו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התקפה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הבוחרים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הערביים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לסלק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שהתבטאו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בגזענות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הממשלה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ונאומיו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הידועים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תותיר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שלישית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להתנגד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בכוח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הנשק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לכיבוש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ולנישול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עמדה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מוסרית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הבינלאומי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בזכות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החלטה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מליאת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/33/24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-29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בנובמבר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1978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המליאה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)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מאשרת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הלגיטימיות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לעצמאותם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לשלמות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ארצם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לאחדות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לאומית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ולשחרור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קולוניאליסטית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וכיבוש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האמצעים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המזוין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מנוגד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דורכת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שחברת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התבטאה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גזעני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והאמירה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שחיילי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השייט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רוצחים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אמירה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גזענית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מזוין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הכיבוש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מכוון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כנגדה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80" w:before="28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עתירה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הצהיר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שבלעדיה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שחופש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ופגיעה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בחופש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לפגיעה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בביטחון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מוצדקת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הסתברות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שהפגיעה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תתממש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והסתברות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לוודאי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הפגיעה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וחמורה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לצבא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העוסק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במותו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מפגין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חייל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לפסק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נוסחת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האיזון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וביטחון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שהגבלת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מוצדקת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הסכנה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חמורה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וההסתברות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שתתממש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לוודאי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נקבע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שאיסור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לשלום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הסילוף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חנין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לשכנע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דבריה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מוחשית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לביטחון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נפשעים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כהטלת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מצור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לגטו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8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שהרגיז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הלאומנים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לנבחרי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וולטיר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מתבטאת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ברעיון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מסכים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מדבריך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להקריב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זכותך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לבטא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דבריך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וולטיר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להתבטא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עתירה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השמירה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-2014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דחה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עתירתה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שהושעתה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חודשים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ההפגנות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הגדולות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כאמצעי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לביטול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הפגנות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ופעולות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חזית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מאוחדת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תיבחן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מפלגה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ואדם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פוליטי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ניצבים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להגנת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אזרחי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מאפשרת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ולהיבחר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ההחלטה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מפלגות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ערביות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עצמאיות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בניגוד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לתקופה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הממשל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הצבאי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נועדה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לשוות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מראית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ליברלית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והסרת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תסיע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להחרמת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לפעול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ההשעיה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וכנגד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סילוקה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זועבי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חלופה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מכוננת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ישתתפו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ותומכיהם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מכוננת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שתקרא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שתכלול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השיבה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פתוחה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התומך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360" w:lineRule="auto"/>
        <w:contextualSpacing w:val="0"/>
        <w:jc w:val="both"/>
      </w:pPr>
      <w:bookmarkStart w:colFirst="0" w:colLast="0" w:name="h.g9t1qjsy60wv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לדעתנו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ממשית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הטייקונים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נוסח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סטריט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והפלחים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העצמאים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הצווארון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הלבן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המדוכאות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והמודרות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  <w:font w:name="David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0"/>
          <w:szCs w:val="20"/>
          <w:rtl w:val="0"/>
        </w:rPr>
        <w:t xml:space="preserve">) </w:t>
      </w:r>
      <w:hyperlink r:id="rId1">
        <w:r w:rsidDel="00000000" w:rsidR="00000000" w:rsidRPr="00000000">
          <w:rPr>
            <w:rFonts w:ascii="Georgia" w:cs="Georgia" w:eastAsia="Georgia" w:hAnsi="Georgia"/>
            <w:b w:val="0"/>
            <w:color w:val="c40c20"/>
            <w:sz w:val="20"/>
            <w:szCs w:val="20"/>
            <w:u w:val="single"/>
            <w:rtl w:val="0"/>
          </w:rPr>
          <w:t xml:space="preserve">United Nations General Assembly Resolution A/RES/33/24</w:t>
        </w:r>
      </w:hyperlink>
      <w:r w:rsidDel="00000000" w:rsidR="00000000" w:rsidRPr="00000000">
        <w:rPr>
          <w:rFonts w:ascii="Georgia" w:cs="Georgia" w:eastAsia="Georgia" w:hAnsi="Georgia"/>
          <w:b w:val="0"/>
          <w:color w:val="000000"/>
          <w:sz w:val="20"/>
          <w:szCs w:val="20"/>
          <w:rtl w:val="0"/>
        </w:rPr>
        <w:t xml:space="preserve"> of 29 November 1978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bidi w:val="1"/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בג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 73/53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העם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בג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צ</w:t>
      </w:r>
      <w:r w:rsidDel="00000000" w:rsidR="00000000" w:rsidRPr="00000000">
        <w:rPr>
          <w:sz w:val="20"/>
          <w:szCs w:val="20"/>
          <w:rtl w:val="1"/>
        </w:rPr>
        <w:t xml:space="preserve"> 6706/14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bidi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bidi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domino.un.org/UNISPAL.NSF/561c6ee353d740fb8525607d00581829/d7340f04b82a2cb085256a9d006ba47a!OpenDocument" TargetMode="External"/></Relationships>
</file>